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Fiche : analyse d’un document iconographique</w:t>
      </w:r>
    </w:p>
    <w:tbl>
      <w:tblPr/>
      <w:tblGrid>
        <w:gridCol w:w="675"/>
        <w:gridCol w:w="5103"/>
        <w:gridCol w:w="5418"/>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Procédure détaillée</w:t>
            </w: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Analyse complète du document</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auto" w:fill="4bacc6"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Introduction</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L’œuvre, l’artiste</w:t>
            </w:r>
          </w:p>
          <w:p>
            <w:pPr>
              <w:numPr>
                <w:ilvl w:val="0"/>
                <w:numId w:val="9"/>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nature du support (précisez à chaque fois)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Carte postale, photographie, affiche (politique, publicitaire, …), caricature, dessin, œuvre d’art, autre.</w:t>
            </w:r>
          </w:p>
          <w:p>
            <w:pPr>
              <w:numPr>
                <w:ilvl w:val="0"/>
                <w:numId w:val="1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Taille et source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dimension originale de l’œuvre, où l’avez-vous prélevée ? un courant artistique particulier ?</w:t>
            </w:r>
          </w:p>
          <w:p>
            <w:pPr>
              <w:numPr>
                <w:ilvl w:val="0"/>
                <w:numId w:val="13"/>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L’auteur :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Son nom, dates de vie et mort, date de la réalisation de l’œuvre, quelques éléments importants sur lui (2 lignes maximum)</w:t>
            </w: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Destroy this mad brute, enlist », Harry Ryle Hopps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-Affiche politique de propagande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 cm sur 71 cm,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http://ahabbestad.blogspot.fr/2011/05/destroy-this-mad-brute-enlist-by-hr.html</w:t>
              </w:r>
            </w:hyperlink>
          </w:p>
          <w:p>
            <w:pPr>
              <w:spacing w:before="0" w:after="0" w:line="240"/>
              <w:ind w:right="0" w:left="0" w:firstLine="0"/>
              <w:jc w:val="both"/>
              <w:rPr>
                <w:rFonts w:ascii="Calibri" w:hAnsi="Calibri" w:cs="Calibri" w:eastAsia="Calibri"/>
                <w:spacing w:val="0"/>
                <w:position w:val="0"/>
                <w:sz w:val="22"/>
              </w:rPr>
            </w:pPr>
            <w:r>
              <w:rPr>
                <w:rFonts w:ascii="Calibri" w:hAnsi="Calibri" w:cs="Calibri" w:eastAsia="Calibri"/>
                <w:color w:val="auto"/>
                <w:spacing w:val="0"/>
                <w:position w:val="0"/>
                <w:sz w:val="22"/>
                <w:shd w:fill="auto" w:val="clear"/>
              </w:rPr>
              <w:t xml:space="preserve">-Harry Ryle Hopps, né en 1867 mort en 1937, réalise cette œuvre en 1917. </w:t>
            </w:r>
            <w:r>
              <w:rPr>
                <w:rFonts w:ascii="Calibri" w:hAnsi="Calibri" w:cs="Calibri" w:eastAsia="Calibri"/>
                <w:color w:val="252525"/>
                <w:spacing w:val="0"/>
                <w:position w:val="0"/>
                <w:sz w:val="22"/>
                <w:shd w:fill="FFFFFF" w:val="clear"/>
              </w:rPr>
              <w:t xml:space="preserve">Il est né dans une famille d'artistes à San Fransisco où il a grandi. Il a travaillé sur des vitraux avant de se lancer dans la peinture lorsqu'il est devenu directeur artistique à Los Angeles. Il y créera de nombreuses affiches pour le compte de Mary Pickford et Douglas Fairbanks de 1918 jusqu'à sa mort.</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auto" w:fill="4bacc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Commanditaire(s), destinataire(s), diffusion</w:t>
            </w:r>
          </w:p>
          <w:p>
            <w:pPr>
              <w:numPr>
                <w:ilvl w:val="0"/>
                <w:numId w:val="2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Commanditaire(s)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Une personne, l’Etat,  un syndicat, un parti politique, une association, anonyme, autre. Précisez.</w:t>
            </w:r>
          </w:p>
          <w:p>
            <w:pPr>
              <w:numPr>
                <w:ilvl w:val="0"/>
                <w:numId w:val="23"/>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Destinataire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Sur un mur, boite aux lettres, presse, vente dans un commerce…</w:t>
            </w:r>
          </w:p>
          <w:p>
            <w:pPr>
              <w:numPr>
                <w:ilvl w:val="0"/>
                <w:numId w:val="25"/>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Diffusion :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Ville, région, pays, privée, publique, groupe.</w:t>
            </w: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-l’Etat américain a commandité cette affiche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-Cette affiche était destinée à être placardée aux murs pour être vue des yeux de tous.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 diffusion restera nationale puisque le but est de mobiliser les jeunes américains à s’engager dans l’armée américaine.</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auto" w:fill="4bacc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 contexte particulier de l’époque </w:t>
            </w:r>
          </w:p>
          <w:p>
            <w:pPr>
              <w:numPr>
                <w:ilvl w:val="0"/>
                <w:numId w:val="30"/>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 nature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politique, social, économique, scientifique, …</w:t>
            </w:r>
          </w:p>
          <w:p>
            <w:pPr>
              <w:numPr>
                <w:ilvl w:val="0"/>
                <w:numId w:val="32"/>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 double contexte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La réalisation de l’œuvre est-elle en décalage chronologique avec l’évènement, la scène représentée ? Est-ce important ? Expliquez.</w:t>
            </w: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252525"/>
                <w:spacing w:val="0"/>
                <w:position w:val="0"/>
                <w:sz w:val="22"/>
                <w:shd w:fill="auto" w:val="clear"/>
              </w:rPr>
              <w:t xml:space="preserve"> Lors de la diffusion de cette affiche en 1917, l'Europe traverse la Grande Guerre depuis 1914. Les Etats-Unis commencent alors à réagir après le torpillage du RMS Lusitania, un bateau de transition entre l'Amérique et le Royaume-Uni, qui avait été torpillé par les allemands. Au cours de cette année 1917, alors que la Russie, membre de la Triple Entente avec la France et le Royaume-Uni signe l'armistice avec l'Allemagne (Traité de Brest-Litovsk), Les États-Unis s'engagent aux côtés de la Triple Entente, contre l'Allemagne, l’Autriche-Hongrie et l'Italie qui forment la Triple Alliance. </w:t>
            </w:r>
          </w:p>
          <w:p>
            <w:pPr>
              <w:spacing w:before="10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spacing w:val="0"/>
                <w:position w:val="0"/>
                <w:sz w:val="22"/>
                <w:shd w:fill="auto" w:val="clear"/>
              </w:rPr>
            </w:pPr>
          </w:p>
        </w:tc>
      </w:tr>
      <w:tr>
        <w:trPr>
          <w:trHeight w:val="3307" w:hRule="auto"/>
          <w:jc w:val="left"/>
        </w:trPr>
        <w:tc>
          <w:tcPr>
            <w:tcW w:w="675" w:type="dxa"/>
            <w:vMerge w:val="restart"/>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Description</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Description générale</w:t>
            </w:r>
          </w:p>
          <w:p>
            <w:pPr>
              <w:numPr>
                <w:ilvl w:val="0"/>
                <w:numId w:val="40"/>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Description par plan, personnages (combien, qui ?, attitude), paysage, décor.</w:t>
            </w:r>
          </w:p>
          <w:p>
            <w:pPr>
              <w:numPr>
                <w:ilvl w:val="0"/>
                <w:numId w:val="40"/>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Les couleurs (claires, foncées, chaudes, froides), les contrastes,…</w:t>
            </w:r>
          </w:p>
          <w:p>
            <w:pPr>
              <w:spacing w:before="0" w:after="0" w:line="240"/>
              <w:ind w:right="0" w:left="0" w:firstLine="0"/>
              <w:jc w:val="both"/>
              <w:rPr>
                <w:rFonts w:ascii="Calibri" w:hAnsi="Calibri" w:cs="Calibri" w:eastAsia="Calibri"/>
                <w:color w:val="auto"/>
                <w:spacing w:val="0"/>
                <w:position w:val="0"/>
                <w:shd w:fill="auto" w:val="clear"/>
              </w:rPr>
            </w:pP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cette affiche, deux personnages sont présent, le singe et la femme. La couleur dominante est le gris donnant un aspect sombre et grave à la scène. Même l’eau est grise, seuls les bâtiments au fond contrastent avec leur couleur orange. </w:t>
            </w:r>
          </w:p>
        </w:tc>
      </w:tr>
      <w:tr>
        <w:trPr>
          <w:trHeight w:val="1367" w:hRule="auto"/>
          <w:jc w:val="left"/>
        </w:trPr>
        <w:tc>
          <w:tcPr>
            <w:tcW w:w="675" w:type="dxa"/>
            <w:vMerge/>
            <w:tcBorders>
              <w:top w:val="single" w:color="000000" w:sz="4"/>
              <w:left w:val="single" w:color="000000" w:sz="4"/>
              <w:bottom w:val="single" w:color="000000" w:sz="4"/>
              <w:right w:val="single" w:color="000000" w:sz="4"/>
            </w:tcBorders>
            <w:shd w:color="auto" w:fill="9bbb59"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Description détaillée </w:t>
            </w:r>
          </w:p>
          <w:p>
            <w:pPr>
              <w:numPr>
                <w:ilvl w:val="0"/>
                <w:numId w:val="47"/>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Personnages, objets, décor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18"/>
                <w:shd w:fill="auto" w:val="clear"/>
              </w:rPr>
              <w:t xml:space="preserve">Taille, place, position(s), expression(s), gestes,…</w:t>
            </w:r>
          </w:p>
          <w:p>
            <w:pPr>
              <w:numPr>
                <w:ilvl w:val="0"/>
                <w:numId w:val="49"/>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 texte :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style, la police, le ton, la place,…</w:t>
            </w: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252525"/>
                <w:spacing w:val="0"/>
                <w:position w:val="0"/>
                <w:sz w:val="22"/>
                <w:shd w:fill="auto" w:val="clear"/>
              </w:rPr>
              <w:t xml:space="preserve">-Au premier plan nous pouvons remarquer un singe portant une femme dans ses bras. Ce singe possède une massue ensanglantée qui le rend encore plus monstrueux. Le mot « Kultur » veut dire civilisation en Allemand, ici il est sur la massue symbole de violence. La massue est accompagnée du mot Kultur pour signifier que les allemands sont plus proches de la sauvagerie que de la civilisation. Par cette image, le gouvernement américain a voulu montrer l'ennemi Allemand sous un aspect monstrueux, dangereux, inhumain. La femme est une allégorie de la liberté, elle représente à la fois une statue de la Grèce antique, berceau de la démocratie. Le symbole de la statue de la liberté aux USA. Et enfin, la liberté dans le tableau d’Eugène Delacroix. Le but est de faire réagir l'opinion alliée. En effet, avec la femme dans cette position de faiblesse, le but est de donner envie aux hommes de vouloir défendre son pays et ses valeurs. Le but est également de mobiliser l'opinion pour que les jeunes américains s'engagent volontairement car il n'y avait pas de service militaire obligatoire.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 second plan, nous pouvons voir de l’eau, représentant certainement l’océan atlantique qui sépare l’Europe des Etats-Unis. </w:t>
            </w:r>
          </w:p>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-Au troisième plan il y’a des ruines mises en évidence par leur couleur orange, ces ruines sont le symbole de la guerre et des destructions qu’elle engendre.</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auto" w:fill="c0504d"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Analyse, interprétation</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Analyse graphique</w:t>
            </w:r>
          </w:p>
          <w:p>
            <w:pPr>
              <w:numPr>
                <w:ilvl w:val="0"/>
                <w:numId w:val="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Lignes de construction, groupes, formes géométriques, point de fuite, éclairage(s), les relations, …</w:t>
            </w:r>
          </w:p>
          <w:p>
            <w:pPr>
              <w:spacing w:before="0" w:after="0" w:line="240"/>
              <w:ind w:right="0" w:left="0" w:firstLine="0"/>
              <w:jc w:val="both"/>
              <w:rPr>
                <w:rFonts w:ascii="Calibri" w:hAnsi="Calibri" w:cs="Calibri" w:eastAsia="Calibri"/>
                <w:color w:val="auto"/>
                <w:spacing w:val="0"/>
                <w:position w:val="0"/>
                <w:shd w:fill="auto" w:val="clear"/>
              </w:rPr>
            </w:pP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objets principaux de cette œuvre sont le singe et la femme. Ils sont au centre de l’image et attirent plus l’attention que les éléments de décors. L’œil du spectateur est attiré également par la bouche grande ouverte et menaçante du singe. </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auto" w:fill="c0504d"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Interprétation</w:t>
            </w:r>
          </w:p>
          <w:p>
            <w:pPr>
              <w:numPr>
                <w:ilvl w:val="0"/>
                <w:numId w:val="63"/>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 message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glorification, éloge, valorisation, critique, moquerie, dénonciation, diffamation, neutre, ironie, accusateur,…</w:t>
            </w:r>
          </w:p>
          <w:p>
            <w:pPr>
              <w:spacing w:before="0" w:after="0" w:line="240"/>
              <w:ind w:right="0" w:left="0" w:firstLine="0"/>
              <w:jc w:val="both"/>
              <w:rPr>
                <w:rFonts w:ascii="Calibri" w:hAnsi="Calibri" w:cs="Calibri" w:eastAsia="Calibri"/>
                <w:color w:val="auto"/>
                <w:spacing w:val="0"/>
                <w:position w:val="0"/>
                <w:sz w:val="18"/>
                <w:shd w:fill="auto" w:val="clear"/>
              </w:rPr>
            </w:pPr>
          </w:p>
          <w:p>
            <w:pPr>
              <w:numPr>
                <w:ilvl w:val="0"/>
                <w:numId w:val="65"/>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construction du message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18"/>
                <w:shd w:fill="auto" w:val="clear"/>
              </w:rPr>
              <w:t xml:space="preserve">Symboles, allégories, du slogan, (pourquoi, dans quel but)</w:t>
            </w:r>
          </w:p>
          <w:p>
            <w:pPr>
              <w:spacing w:before="0" w:after="0" w:line="240"/>
              <w:ind w:right="0" w:left="0" w:firstLine="0"/>
              <w:jc w:val="both"/>
              <w:rPr>
                <w:rFonts w:ascii="Calibri" w:hAnsi="Calibri" w:cs="Calibri" w:eastAsia="Calibri"/>
                <w:color w:val="auto"/>
                <w:spacing w:val="0"/>
                <w:position w:val="0"/>
                <w:shd w:fill="auto" w:val="clear"/>
              </w:rPr>
            </w:pP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 message que veut transmettre le gouvernement américain est simple, il veut déshumaniser l’ennemi, trouver une bonne raison de réunir de nouveaux combattant pour lutter face à une « bête » dangereuse qui s’emparent des valeurs essentielles. (la femme, allégorie de la liberté)</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auto" w:fill="c0504d"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D’autres œuvres et/ou techniques semblables, pour aborder la même question/thème/sujet</w:t>
            </w:r>
          </w:p>
          <w:p>
            <w:pPr>
              <w:spacing w:before="0" w:after="0" w:line="240"/>
              <w:ind w:right="0" w:left="0" w:firstLine="0"/>
              <w:jc w:val="both"/>
              <w:rPr>
                <w:rFonts w:ascii="Calibri" w:hAnsi="Calibri" w:cs="Calibri" w:eastAsia="Calibri"/>
                <w:color w:val="auto"/>
                <w:spacing w:val="0"/>
                <w:position w:val="0"/>
                <w:sz w:val="22"/>
                <w:shd w:fill="auto" w:val="clear"/>
              </w:rPr>
            </w:pP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Œuvres similaire :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Gee!! I wish I were a man, I'd join the Navy », Howard Chandler Christy, 1917</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Der letzte Hieb ist die 8. Kriegsanleihe », Paul Neumman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Fate tutti il vostro dovere! », Achille Luciano, 1917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Toutes les affiches de  propagande de la première guerre mondiale utilise les mêmes procédés : la diabolisation de l’ennemi, la manipulation de masse, la justification de la guerre face à l’ennemi.</w:t>
            </w:r>
          </w:p>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76" w:hRule="auto"/>
          <w:jc w:val="left"/>
          <w:cantSplit w:val="1"/>
        </w:trPr>
        <w:tc>
          <w:tcPr>
            <w:tcW w:w="675" w:type="dxa"/>
            <w:vMerge w:val="restart"/>
            <w:tcBorders>
              <w:top w:val="single" w:color="000000" w:sz="4"/>
              <w:left w:val="single" w:color="000000" w:sz="4"/>
              <w:bottom w:val="single" w:color="000000" w:sz="4"/>
              <w:right w:val="single" w:color="000000" w:sz="4"/>
            </w:tcBorders>
            <w:shd w:color="auto" w:fill="8064a2"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Conclusion</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 véracité du document </w:t>
            </w:r>
          </w:p>
          <w:p>
            <w:pPr>
              <w:numPr>
                <w:ilvl w:val="0"/>
                <w:numId w:val="74"/>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moyens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Les exagérations, les simplifications, que cache-t-il ?, les amalgames, stéréotypes, les mensonges, les leviers psychologiques employés,…</w:t>
            </w:r>
          </w:p>
          <w:p>
            <w:pPr>
              <w:numPr>
                <w:ilvl w:val="0"/>
                <w:numId w:val="76"/>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 document tend-il à être objectif ?</w:t>
            </w:r>
          </w:p>
          <w:p>
            <w:pPr>
              <w:numPr>
                <w:ilvl w:val="0"/>
                <w:numId w:val="76"/>
              </w:numPr>
              <w:spacing w:before="0" w:after="0" w:line="240"/>
              <w:ind w:right="0" w:left="720" w:hanging="360"/>
              <w:jc w:val="both"/>
              <w:rPr>
                <w:rFonts w:ascii="Calibri" w:hAnsi="Calibri" w:cs="Calibri" w:eastAsia="Calibri"/>
                <w:color w:val="auto"/>
                <w:spacing w:val="0"/>
                <w:position w:val="0"/>
                <w:shd w:fill="auto" w:val="clear"/>
              </w:rPr>
            </w:pP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-Cette affiche nous montre la manipulation de masse exercée par l’Etat pour embrigader de futurs militaires. En voyant cette affiche et après l’avoir analysé, on peut se demander si les soldats se laissaient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document ne tend pas à être objectif. Il est créé pour être subjectif, en rabaissant l’ennemi le montrant sous un aspect inhumain et assassin des valeurs essentielles de la Démocratie.</w:t>
            </w:r>
          </w:p>
        </w:tc>
      </w:tr>
      <w:tr>
        <w:trPr>
          <w:trHeight w:val="802" w:hRule="auto"/>
          <w:jc w:val="left"/>
          <w:cantSplit w:val="1"/>
        </w:trPr>
        <w:tc>
          <w:tcPr>
            <w:tcW w:w="675" w:type="dxa"/>
            <w:vMerge/>
            <w:tcBorders>
              <w:top w:val="single" w:color="000000" w:sz="4"/>
              <w:left w:val="single" w:color="000000" w:sz="4"/>
              <w:bottom w:val="single" w:color="000000" w:sz="4"/>
              <w:right w:val="single" w:color="000000" w:sz="4"/>
            </w:tcBorders>
            <w:shd w:color="auto" w:fill="8064a2"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Pourquoi avez-vous choisi ce document ?</w:t>
            </w:r>
          </w:p>
          <w:p>
            <w:pPr>
              <w:spacing w:before="0" w:after="0" w:line="240"/>
              <w:ind w:right="0" w:left="0" w:firstLine="0"/>
              <w:jc w:val="both"/>
              <w:rPr>
                <w:rFonts w:ascii="Calibri" w:hAnsi="Calibri" w:cs="Calibri" w:eastAsia="Calibri"/>
                <w:color w:val="auto"/>
                <w:spacing w:val="0"/>
                <w:position w:val="0"/>
                <w:sz w:val="22"/>
                <w:shd w:fill="auto" w:val="clear"/>
              </w:rPr>
            </w:pPr>
          </w:p>
        </w:tc>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avons choisis ce document car c’est un document clé de la propagande de la première guerre mondiale et qu’il est riche en symboles. Il montre clairement la diabolisation de l’ennemi qui est un procédé important dans la propagande militaire.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autre raison majeure de notre choix est le contexte historique, en effet, nous sommes intéressés par cette période et plus particulièrement par la propagande.</w:t>
            </w:r>
          </w:p>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9">
    <w:abstractNumId w:val="90"/>
  </w:num>
  <w:num w:numId="11">
    <w:abstractNumId w:val="84"/>
  </w:num>
  <w:num w:numId="13">
    <w:abstractNumId w:val="78"/>
  </w:num>
  <w:num w:numId="21">
    <w:abstractNumId w:val="72"/>
  </w:num>
  <w:num w:numId="23">
    <w:abstractNumId w:val="66"/>
  </w:num>
  <w:num w:numId="25">
    <w:abstractNumId w:val="60"/>
  </w:num>
  <w:num w:numId="30">
    <w:abstractNumId w:val="54"/>
  </w:num>
  <w:num w:numId="32">
    <w:abstractNumId w:val="48"/>
  </w:num>
  <w:num w:numId="40">
    <w:abstractNumId w:val="42"/>
  </w:num>
  <w:num w:numId="47">
    <w:abstractNumId w:val="36"/>
  </w:num>
  <w:num w:numId="49">
    <w:abstractNumId w:val="30"/>
  </w:num>
  <w:num w:numId="57">
    <w:abstractNumId w:val="24"/>
  </w:num>
  <w:num w:numId="63">
    <w:abstractNumId w:val="18"/>
  </w:num>
  <w:num w:numId="65">
    <w:abstractNumId w:val="12"/>
  </w:num>
  <w:num w:numId="74">
    <w:abstractNumId w:val="6"/>
  </w:num>
  <w:num w:numId="7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ahabbestad.blogspot.fr/2011/05/destroy-this-mad-brute-enlist-by-hr.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